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jc w:val="center"/>
        <w:rPr>
          <w:rFonts w:ascii="Calibri" w:cs="Calibri" w:hAnsi="Calibri" w:eastAsia="Calibri"/>
          <w:b w:val="1"/>
          <w:bCs w:val="1"/>
          <w:sz w:val="32"/>
          <w:szCs w:val="32"/>
        </w:rPr>
      </w:pPr>
      <w:r>
        <w:drawing>
          <wp:inline distT="0" distB="0" distL="0" distR="0">
            <wp:extent cx="1171893" cy="1591948"/>
            <wp:effectExtent l="0" t="0" r="0" b="0"/>
            <wp:docPr id="1073741825" name="officeArt object" descr="C:\Users\KellyReynolds\AppData\Local\Microsoft\Windows\INetCache\Content.Word\ABNDTA logo.png"/>
            <wp:cNvGraphicFramePr/>
            <a:graphic xmlns:a="http://schemas.openxmlformats.org/drawingml/2006/main">
              <a:graphicData uri="http://schemas.openxmlformats.org/drawingml/2006/picture">
                <pic:pic xmlns:pic="http://schemas.openxmlformats.org/drawingml/2006/picture">
                  <pic:nvPicPr>
                    <pic:cNvPr id="1073741825" name="C:\Users\KellyReynolds\AppData\Local\Microsoft\Windows\INetCache\Content.Word\ABNDTA logo.png" descr="C:\Users\KellyReynolds\AppData\Local\Microsoft\Windows\INetCache\Content.Word\ABNDTA logo.png"/>
                    <pic:cNvPicPr>
                      <a:picLocks noChangeAspect="1"/>
                    </pic:cNvPicPr>
                  </pic:nvPicPr>
                  <pic:blipFill>
                    <a:blip r:embed="rId4">
                      <a:extLst/>
                    </a:blip>
                    <a:stretch>
                      <a:fillRect/>
                    </a:stretch>
                  </pic:blipFill>
                  <pic:spPr>
                    <a:xfrm>
                      <a:off x="0" y="0"/>
                      <a:ext cx="1171893" cy="1591948"/>
                    </a:xfrm>
                    <a:prstGeom prst="rect">
                      <a:avLst/>
                    </a:prstGeom>
                    <a:ln w="12700" cap="flat">
                      <a:noFill/>
                      <a:miter lim="400000"/>
                    </a:ln>
                    <a:effectLst/>
                  </pic:spPr>
                </pic:pic>
              </a:graphicData>
            </a:graphic>
          </wp:inline>
        </w:drawing>
      </w:r>
    </w:p>
    <w:p>
      <w:pPr>
        <w:pStyle w:val="Body"/>
        <w:jc w:val="center"/>
        <w:rPr>
          <w:rFonts w:ascii="Calibri" w:cs="Calibri" w:hAnsi="Calibri" w:eastAsia="Calibri"/>
          <w:b w:val="1"/>
          <w:bCs w:val="1"/>
          <w:sz w:val="48"/>
          <w:szCs w:val="48"/>
        </w:rPr>
      </w:pPr>
      <w:r>
        <w:rPr>
          <w:rFonts w:ascii="Calibri" w:cs="Calibri" w:hAnsi="Calibri" w:eastAsia="Calibri"/>
          <w:b w:val="1"/>
          <w:bCs w:val="1"/>
          <w:sz w:val="48"/>
          <w:szCs w:val="48"/>
          <w:rtl w:val="0"/>
          <w:lang w:val="en-US"/>
        </w:rPr>
        <w:t>Typical Child Development (TCD) Module</w:t>
      </w:r>
    </w:p>
    <w:p>
      <w:pPr>
        <w:pStyle w:val="Body"/>
        <w:jc w:val="center"/>
        <w:rPr>
          <w:rFonts w:ascii="Calibri" w:cs="Calibri" w:hAnsi="Calibri" w:eastAsia="Calibri"/>
          <w:b w:val="1"/>
          <w:bCs w:val="1"/>
          <w:sz w:val="32"/>
          <w:szCs w:val="32"/>
        </w:rPr>
      </w:pPr>
      <w:r>
        <w:rPr>
          <w:rFonts w:ascii="Calibri" w:cs="Calibri" w:hAnsi="Calibri" w:eastAsia="Calibri"/>
          <w:b w:val="1"/>
          <w:bCs w:val="1"/>
          <w:sz w:val="32"/>
          <w:szCs w:val="32"/>
          <w:rtl w:val="0"/>
          <w:lang w:val="en-US"/>
        </w:rPr>
        <w:t xml:space="preserve">Distance-based Online Module </w:t>
      </w:r>
    </w:p>
    <w:p>
      <w:pPr>
        <w:pStyle w:val="Body"/>
        <w:jc w:val="center"/>
        <w:rPr>
          <w:rFonts w:ascii="Calibri" w:cs="Calibri" w:hAnsi="Calibri" w:eastAsia="Calibri"/>
          <w:b w:val="1"/>
          <w:bCs w:val="1"/>
          <w:sz w:val="24"/>
          <w:szCs w:val="24"/>
        </w:rPr>
      </w:pPr>
    </w:p>
    <w:p>
      <w:pPr>
        <w:pStyle w:val="Body"/>
        <w:jc w:val="center"/>
        <w:rPr>
          <w:rFonts w:ascii="Calibri" w:cs="Calibri" w:hAnsi="Calibri" w:eastAsia="Calibri"/>
          <w:b w:val="1"/>
          <w:bCs w:val="1"/>
          <w:sz w:val="28"/>
          <w:szCs w:val="28"/>
        </w:rPr>
      </w:pPr>
      <w:r>
        <w:rPr>
          <w:rFonts w:ascii="Calibri" w:cs="Calibri" w:hAnsi="Calibri" w:eastAsia="Calibri"/>
          <w:b w:val="1"/>
          <w:bCs w:val="1"/>
          <w:sz w:val="28"/>
          <w:szCs w:val="28"/>
          <w:rtl w:val="0"/>
          <w:lang w:val="en-US"/>
        </w:rPr>
        <w:t>Essential knowledge and understanding for Paediatric Therapists.  Study Child Development in the first 12 months of life IN DETAIL!  Not only what infants are doing, but also HOW they are learning new skills and refining others.  The course will cover all developmental domains Fine Motor, Gross Motor, Oro-motor, Communication and Cognitive Development.</w:t>
      </w:r>
    </w:p>
    <w:p>
      <w:pPr>
        <w:pStyle w:val="Body"/>
        <w:jc w:val="center"/>
        <w:rPr>
          <w:rFonts w:ascii="Calibri" w:cs="Calibri" w:hAnsi="Calibri" w:eastAsia="Calibri"/>
          <w:b w:val="1"/>
          <w:bCs w:val="1"/>
          <w:sz w:val="28"/>
          <w:szCs w:val="28"/>
        </w:rPr>
      </w:pPr>
      <w:r>
        <w:rPr>
          <w:rFonts w:ascii="Calibri" w:cs="Calibri" w:hAnsi="Calibri" w:eastAsia="Calibri"/>
          <w:b w:val="1"/>
          <w:bCs w:val="1"/>
          <w:sz w:val="28"/>
          <w:szCs w:val="28"/>
          <w:rtl w:val="0"/>
          <w:lang w:val="en-US"/>
        </w:rPr>
        <w:t>The course is relevant for Occupational Therapists, Physiotherapists and Speech Pathologists, particularly those working as a Key Worker, in a Transdisciplinary Model.</w:t>
      </w:r>
    </w:p>
    <w:p>
      <w:pPr>
        <w:pStyle w:val="Body"/>
        <w:jc w:val="center"/>
        <w:rPr>
          <w:rFonts w:ascii="Calibri" w:cs="Calibri" w:hAnsi="Calibri" w:eastAsia="Calibri"/>
          <w:b w:val="1"/>
          <w:bCs w:val="1"/>
          <w:sz w:val="22"/>
          <w:szCs w:val="22"/>
        </w:rPr>
      </w:pPr>
    </w:p>
    <w:p>
      <w:pPr>
        <w:pStyle w:val="Body"/>
        <w:jc w:val="center"/>
        <w:rPr>
          <w:rFonts w:ascii="Calibri" w:cs="Calibri" w:hAnsi="Calibri" w:eastAsia="Calibri"/>
          <w:b w:val="1"/>
          <w:bCs w:val="1"/>
          <w:color w:val="ff0000"/>
          <w:sz w:val="28"/>
          <w:szCs w:val="28"/>
          <w:u w:color="ff0000"/>
        </w:rPr>
      </w:pPr>
      <w:r>
        <w:rPr>
          <w:rFonts w:ascii="Calibri" w:cs="Calibri" w:hAnsi="Calibri" w:eastAsia="Calibri"/>
          <w:b w:val="1"/>
          <w:bCs w:val="1"/>
          <w:color w:val="ff0000"/>
          <w:sz w:val="28"/>
          <w:szCs w:val="28"/>
          <w:u w:color="ff0000"/>
          <w:rtl w:val="0"/>
          <w:lang w:val="de-DE"/>
        </w:rPr>
        <w:t>Start Date: 13</w:t>
      </w:r>
      <w:r>
        <w:rPr>
          <w:rFonts w:ascii="Calibri" w:cs="Calibri" w:hAnsi="Calibri" w:eastAsia="Calibri"/>
          <w:b w:val="1"/>
          <w:bCs w:val="1"/>
          <w:color w:val="ff0000"/>
          <w:sz w:val="28"/>
          <w:szCs w:val="28"/>
          <w:u w:color="ff0000"/>
          <w:vertAlign w:val="superscript"/>
          <w:rtl w:val="0"/>
          <w:lang w:val="en-US"/>
        </w:rPr>
        <w:t>th</w:t>
      </w:r>
      <w:r>
        <w:rPr>
          <w:rFonts w:ascii="Calibri" w:cs="Calibri" w:hAnsi="Calibri" w:eastAsia="Calibri"/>
          <w:b w:val="1"/>
          <w:bCs w:val="1"/>
          <w:color w:val="ff0000"/>
          <w:sz w:val="28"/>
          <w:szCs w:val="28"/>
          <w:u w:color="ff0000"/>
          <w:rtl w:val="0"/>
          <w:lang w:val="en-US"/>
        </w:rPr>
        <w:t xml:space="preserve"> April </w:t>
      </w:r>
      <w:r>
        <w:rPr>
          <w:rFonts w:ascii="Calibri" w:cs="Calibri" w:hAnsi="Calibri" w:eastAsia="Calibri"/>
          <w:b w:val="1"/>
          <w:bCs w:val="1"/>
          <w:color w:val="ff0000"/>
          <w:sz w:val="28"/>
          <w:szCs w:val="28"/>
          <w:u w:color="ff0000"/>
          <w:rtl w:val="0"/>
        </w:rPr>
        <w:t xml:space="preserve">– </w:t>
      </w:r>
      <w:r>
        <w:rPr>
          <w:rFonts w:ascii="Calibri" w:cs="Calibri" w:hAnsi="Calibri" w:eastAsia="Calibri"/>
          <w:b w:val="1"/>
          <w:bCs w:val="1"/>
          <w:color w:val="ff0000"/>
          <w:sz w:val="28"/>
          <w:szCs w:val="28"/>
          <w:u w:color="ff0000"/>
          <w:rtl w:val="0"/>
        </w:rPr>
        <w:t>29</w:t>
      </w:r>
      <w:r>
        <w:rPr>
          <w:rFonts w:ascii="Calibri" w:cs="Calibri" w:hAnsi="Calibri" w:eastAsia="Calibri"/>
          <w:b w:val="1"/>
          <w:bCs w:val="1"/>
          <w:color w:val="ff0000"/>
          <w:sz w:val="28"/>
          <w:szCs w:val="28"/>
          <w:u w:color="ff0000"/>
          <w:vertAlign w:val="superscript"/>
          <w:rtl w:val="0"/>
          <w:lang w:val="en-US"/>
        </w:rPr>
        <w:t>th</w:t>
      </w:r>
      <w:r>
        <w:rPr>
          <w:rFonts w:ascii="Calibri" w:cs="Calibri" w:hAnsi="Calibri" w:eastAsia="Calibri"/>
          <w:b w:val="1"/>
          <w:bCs w:val="1"/>
          <w:color w:val="ff0000"/>
          <w:sz w:val="28"/>
          <w:szCs w:val="28"/>
          <w:u w:color="ff0000"/>
          <w:rtl w:val="0"/>
          <w:lang w:val="en-US"/>
        </w:rPr>
        <w:t xml:space="preserve"> May 2020</w:t>
      </w:r>
    </w:p>
    <w:p>
      <w:pPr>
        <w:pStyle w:val="Body"/>
        <w:jc w:val="center"/>
        <w:rPr>
          <w:rFonts w:ascii="Calibri" w:cs="Calibri" w:hAnsi="Calibri" w:eastAsia="Calibri"/>
          <w:b w:val="1"/>
          <w:bCs w:val="1"/>
          <w:color w:val="ff0000"/>
          <w:sz w:val="28"/>
          <w:szCs w:val="28"/>
          <w:u w:color="ff0000"/>
        </w:rPr>
      </w:pPr>
      <w:r>
        <w:rPr>
          <w:rFonts w:ascii="Calibri" w:cs="Calibri" w:hAnsi="Calibri" w:eastAsia="Calibri"/>
          <w:b w:val="1"/>
          <w:bCs w:val="1"/>
          <w:color w:val="ff0000"/>
          <w:sz w:val="28"/>
          <w:szCs w:val="28"/>
          <w:u w:color="ff0000"/>
          <w:rtl w:val="0"/>
          <w:lang w:val="en-US"/>
        </w:rPr>
        <w:t>(Pre-reading will be available from 15</w:t>
      </w:r>
      <w:r>
        <w:rPr>
          <w:rFonts w:ascii="Calibri" w:cs="Calibri" w:hAnsi="Calibri" w:eastAsia="Calibri"/>
          <w:b w:val="1"/>
          <w:bCs w:val="1"/>
          <w:color w:val="ff0000"/>
          <w:sz w:val="28"/>
          <w:szCs w:val="28"/>
          <w:u w:color="ff0000"/>
          <w:vertAlign w:val="superscript"/>
          <w:rtl w:val="0"/>
          <w:lang w:val="en-US"/>
        </w:rPr>
        <w:t>th</w:t>
      </w:r>
      <w:r>
        <w:rPr>
          <w:rFonts w:ascii="Calibri" w:cs="Calibri" w:hAnsi="Calibri" w:eastAsia="Calibri"/>
          <w:b w:val="1"/>
          <w:bCs w:val="1"/>
          <w:color w:val="ff0000"/>
          <w:sz w:val="28"/>
          <w:szCs w:val="28"/>
          <w:u w:color="ff0000"/>
          <w:rtl w:val="0"/>
          <w:lang w:val="en-US"/>
        </w:rPr>
        <w:t xml:space="preserve"> March 2020)</w:t>
      </w:r>
    </w:p>
    <w:p>
      <w:pPr>
        <w:pStyle w:val="Body"/>
        <w:jc w:val="center"/>
        <w:rPr>
          <w:rFonts w:ascii="Calibri" w:cs="Calibri" w:hAnsi="Calibri" w:eastAsia="Calibri"/>
          <w:b w:val="1"/>
          <w:bCs w:val="1"/>
        </w:rPr>
      </w:pPr>
    </w:p>
    <w:p>
      <w:pPr>
        <w:pStyle w:val="Body"/>
        <w:jc w:val="center"/>
        <w:rPr>
          <w:rFonts w:ascii="Calibri" w:cs="Calibri" w:hAnsi="Calibri" w:eastAsia="Calibri"/>
          <w:b w:val="1"/>
          <w:bCs w:val="1"/>
          <w:sz w:val="28"/>
          <w:szCs w:val="28"/>
        </w:rPr>
      </w:pPr>
      <w:r>
        <w:rPr>
          <w:rFonts w:ascii="Calibri" w:cs="Calibri" w:hAnsi="Calibri" w:eastAsia="Calibri"/>
          <w:b w:val="1"/>
          <w:bCs w:val="1"/>
          <w:sz w:val="28"/>
          <w:szCs w:val="28"/>
          <w:rtl w:val="0"/>
          <w:lang w:val="en-US"/>
        </w:rPr>
        <w:t>Course content includes lectures, videos and reading material.  Pre-reading will be sent prior to the course starting, and it is useful to access a recommended Child Development Textbook during the course (ABNDTA have limited copies available for loan).</w:t>
      </w:r>
    </w:p>
    <w:p>
      <w:pPr>
        <w:pStyle w:val="Body"/>
        <w:jc w:val="center"/>
        <w:rPr>
          <w:rFonts w:ascii="Calibri" w:cs="Calibri" w:hAnsi="Calibri" w:eastAsia="Calibri"/>
          <w:b w:val="1"/>
          <w:bCs w:val="1"/>
          <w:sz w:val="28"/>
          <w:szCs w:val="28"/>
        </w:rPr>
      </w:pPr>
      <w:r>
        <w:rPr>
          <w:rFonts w:ascii="Calibri" w:cs="Calibri" w:hAnsi="Calibri" w:eastAsia="Calibri"/>
          <w:b w:val="1"/>
          <w:bCs w:val="1"/>
          <w:sz w:val="28"/>
          <w:szCs w:val="28"/>
          <w:rtl w:val="0"/>
          <w:lang w:val="en-US"/>
        </w:rPr>
        <w:t xml:space="preserve">It is expected that you will be spending </w:t>
      </w:r>
      <w:r>
        <w:rPr>
          <w:rFonts w:ascii="Calibri" w:cs="Calibri" w:hAnsi="Calibri" w:eastAsia="Calibri"/>
          <w:b w:val="1"/>
          <w:bCs w:val="1"/>
          <w:sz w:val="28"/>
          <w:szCs w:val="28"/>
          <w:u w:val="single"/>
          <w:rtl w:val="0"/>
          <w:lang w:val="en-US"/>
        </w:rPr>
        <w:t>5 hours minimum</w:t>
      </w:r>
      <w:r>
        <w:rPr>
          <w:rFonts w:ascii="Calibri" w:cs="Calibri" w:hAnsi="Calibri" w:eastAsia="Calibri"/>
          <w:b w:val="1"/>
          <w:bCs w:val="1"/>
          <w:sz w:val="28"/>
          <w:szCs w:val="28"/>
          <w:rtl w:val="0"/>
          <w:lang w:val="en-US"/>
        </w:rPr>
        <w:t xml:space="preserve"> on learning activities each week of the course.  Ongoing tutor support is provided to support and guide your learning with </w:t>
      </w:r>
      <w:r>
        <w:rPr>
          <w:rFonts w:ascii="Calibri" w:cs="Calibri" w:hAnsi="Calibri" w:eastAsia="Calibri"/>
          <w:b w:val="1"/>
          <w:bCs w:val="1"/>
          <w:sz w:val="28"/>
          <w:szCs w:val="28"/>
          <w:u w:val="single"/>
          <w:rtl w:val="0"/>
          <w:lang w:val="en-US"/>
        </w:rPr>
        <w:t>weekly compulsory tutorials</w:t>
      </w:r>
      <w:r>
        <w:rPr>
          <w:rFonts w:ascii="Calibri" w:cs="Calibri" w:hAnsi="Calibri" w:eastAsia="Calibri"/>
          <w:b w:val="1"/>
          <w:bCs w:val="1"/>
          <w:sz w:val="28"/>
          <w:szCs w:val="28"/>
          <w:rtl w:val="0"/>
        </w:rPr>
        <w:t>.</w:t>
      </w:r>
    </w:p>
    <w:p>
      <w:pPr>
        <w:pStyle w:val="Body"/>
        <w:jc w:val="center"/>
        <w:rPr>
          <w:rFonts w:ascii="Calibri" w:cs="Calibri" w:hAnsi="Calibri" w:eastAsia="Calibri"/>
          <w:b w:val="1"/>
          <w:bCs w:val="1"/>
          <w:sz w:val="24"/>
          <w:szCs w:val="24"/>
        </w:rPr>
      </w:pPr>
    </w:p>
    <w:p>
      <w:pPr>
        <w:pStyle w:val="Body"/>
        <w:jc w:val="center"/>
        <w:rPr>
          <w:rFonts w:ascii="Calibri" w:cs="Calibri" w:hAnsi="Calibri" w:eastAsia="Calibri"/>
          <w:b w:val="1"/>
          <w:bCs w:val="1"/>
          <w:sz w:val="24"/>
          <w:szCs w:val="24"/>
        </w:rPr>
      </w:pPr>
      <w:r>
        <w:rPr>
          <w:rFonts w:ascii="Calibri" w:cs="Calibri" w:hAnsi="Calibri" w:eastAsia="Calibri"/>
          <w:b w:val="1"/>
          <w:bCs w:val="1"/>
          <w:sz w:val="24"/>
          <w:szCs w:val="24"/>
          <w:rtl w:val="0"/>
          <w:lang w:val="it-IT"/>
        </w:rPr>
        <w:t>Lead Tutor:</w:t>
      </w:r>
    </w:p>
    <w:p>
      <w:pPr>
        <w:pStyle w:val="Body"/>
        <w:jc w:val="center"/>
        <w:rPr>
          <w:rFonts w:ascii="Calibri" w:cs="Calibri" w:hAnsi="Calibri" w:eastAsia="Calibri"/>
          <w:b w:val="1"/>
          <w:bCs w:val="1"/>
          <w:sz w:val="24"/>
          <w:szCs w:val="24"/>
        </w:rPr>
      </w:pPr>
      <w:r>
        <w:rPr>
          <w:rFonts w:ascii="Calibri" w:cs="Calibri" w:hAnsi="Calibri" w:eastAsia="Calibri"/>
          <w:b w:val="1"/>
          <w:bCs w:val="1"/>
          <w:sz w:val="24"/>
          <w:szCs w:val="24"/>
          <w:rtl w:val="0"/>
          <w:lang w:val="en-US"/>
        </w:rPr>
        <w:t>Kelly Reynolds, Bobath PT Tutor (ABNDTA) and supported by the ABNDTA &amp; NZBA teaching teams consisting of OT, SP and PT tutors</w:t>
      </w:r>
    </w:p>
    <w:p>
      <w:pPr>
        <w:pStyle w:val="Body"/>
        <w:jc w:val="center"/>
        <w:rPr>
          <w:rFonts w:ascii="Calibri" w:cs="Calibri" w:hAnsi="Calibri" w:eastAsia="Calibri"/>
          <w:b w:val="1"/>
          <w:bCs w:val="1"/>
          <w:color w:val="000000"/>
          <w:u w:color="000000"/>
        </w:rPr>
      </w:pPr>
    </w:p>
    <w:p>
      <w:pPr>
        <w:pStyle w:val="Body"/>
        <w:jc w:val="center"/>
        <w:rPr>
          <w:rFonts w:ascii="Calibri" w:cs="Calibri" w:hAnsi="Calibri" w:eastAsia="Calibri"/>
          <w:b w:val="1"/>
          <w:bCs w:val="1"/>
          <w:color w:val="000000"/>
          <w:sz w:val="28"/>
          <w:szCs w:val="28"/>
          <w:u w:color="000000"/>
        </w:rPr>
      </w:pPr>
      <w:r>
        <w:rPr>
          <w:rFonts w:ascii="Calibri" w:cs="Calibri" w:hAnsi="Calibri" w:eastAsia="Calibri"/>
          <w:b w:val="1"/>
          <w:bCs w:val="1"/>
          <w:color w:val="000000"/>
          <w:sz w:val="28"/>
          <w:szCs w:val="28"/>
          <w:u w:color="000000"/>
          <w:rtl w:val="0"/>
          <w:lang w:val="en-US"/>
        </w:rPr>
        <w:t>Course Cost:    $800 + GST (AUD)</w:t>
      </w:r>
    </w:p>
    <w:p>
      <w:pPr>
        <w:pStyle w:val="Body"/>
        <w:jc w:val="center"/>
        <w:rPr>
          <w:rFonts w:ascii="Calibri" w:cs="Calibri" w:hAnsi="Calibri" w:eastAsia="Calibri"/>
          <w:b w:val="1"/>
          <w:bCs w:val="1"/>
          <w:color w:val="000000"/>
          <w:u w:color="000000"/>
        </w:rPr>
      </w:pPr>
    </w:p>
    <w:p>
      <w:pPr>
        <w:pStyle w:val="Body"/>
        <w:jc w:val="center"/>
        <w:rPr>
          <w:rFonts w:ascii="Calibri" w:cs="Calibri" w:hAnsi="Calibri" w:eastAsia="Calibri"/>
          <w:b w:val="1"/>
          <w:bCs w:val="1"/>
          <w:color w:val="000000"/>
          <w:sz w:val="24"/>
          <w:szCs w:val="24"/>
          <w:u w:color="000000"/>
        </w:rPr>
      </w:pPr>
      <w:r>
        <w:rPr>
          <w:rFonts w:ascii="Calibri" w:cs="Calibri" w:hAnsi="Calibri" w:eastAsia="Calibri"/>
          <w:b w:val="1"/>
          <w:bCs w:val="1"/>
          <w:color w:val="000000"/>
          <w:sz w:val="24"/>
          <w:szCs w:val="24"/>
          <w:u w:color="000000"/>
          <w:rtl w:val="0"/>
          <w:lang w:val="en-US"/>
        </w:rPr>
        <w:t>Please note that this module forms part of the Foundation Course for Paediatric Therapists, and completion of this course online will be credited to overall ABNDTA Certification.</w:t>
      </w:r>
    </w:p>
    <w:p>
      <w:pPr>
        <w:pStyle w:val="Body"/>
        <w:jc w:val="center"/>
        <w:rPr>
          <w:rFonts w:ascii="Calibri" w:cs="Calibri" w:hAnsi="Calibri" w:eastAsia="Calibri"/>
          <w:b w:val="1"/>
          <w:bCs w:val="1"/>
          <w:i w:val="1"/>
          <w:iCs w:val="1"/>
          <w:color w:val="000000"/>
          <w:sz w:val="24"/>
          <w:szCs w:val="24"/>
          <w:u w:color="000000"/>
        </w:rPr>
      </w:pPr>
      <w:r>
        <w:rPr>
          <w:rFonts w:ascii="Calibri" w:cs="Calibri" w:hAnsi="Calibri" w:eastAsia="Calibri"/>
          <w:b w:val="1"/>
          <w:bCs w:val="1"/>
          <w:i w:val="1"/>
          <w:iCs w:val="1"/>
          <w:color w:val="000000"/>
          <w:sz w:val="24"/>
          <w:szCs w:val="24"/>
          <w:u w:color="000000"/>
          <w:rtl w:val="0"/>
          <w:lang w:val="en-US"/>
        </w:rPr>
        <w:t>Registration for the Foundation Course will entitle participants to a $200 rebate*.</w:t>
      </w:r>
    </w:p>
    <w:p>
      <w:pPr>
        <w:pStyle w:val="header"/>
        <w:tabs>
          <w:tab w:val="clear" w:pos="4153"/>
          <w:tab w:val="clear" w:pos="8306"/>
        </w:tabs>
        <w:jc w:val="center"/>
        <w:rPr>
          <w:rFonts w:ascii="Calibri" w:cs="Calibri" w:hAnsi="Calibri" w:eastAsia="Calibri"/>
          <w:b w:val="1"/>
          <w:bCs w:val="1"/>
          <w:sz w:val="18"/>
          <w:szCs w:val="18"/>
        </w:rPr>
      </w:pPr>
    </w:p>
    <w:p>
      <w:pPr>
        <w:pStyle w:val="Normal (Web)"/>
        <w:rPr>
          <w:rFonts w:ascii="Arial" w:cs="Arial" w:hAnsi="Arial" w:eastAsia="Arial"/>
        </w:rPr>
      </w:pPr>
      <w:r>
        <w:rPr>
          <w:rFonts w:ascii="Arial" w:hAnsi="Arial"/>
          <w:rtl w:val="0"/>
          <w:lang w:val="en-US"/>
        </w:rPr>
        <w:t xml:space="preserve">Registration is available at </w:t>
      </w:r>
      <w:r>
        <w:rPr>
          <w:rStyle w:val="Hyperlink.0"/>
        </w:rPr>
        <w:fldChar w:fldCharType="begin" w:fldLock="0"/>
      </w:r>
      <w:r>
        <w:rPr>
          <w:rStyle w:val="Hyperlink.0"/>
        </w:rPr>
        <w:instrText xml:space="preserve"> HYPERLINK "https://www.trybooking.com/book/event?eid=564121"</w:instrText>
      </w:r>
      <w:r>
        <w:rPr>
          <w:rStyle w:val="Hyperlink.0"/>
        </w:rPr>
        <w:fldChar w:fldCharType="separate" w:fldLock="0"/>
      </w:r>
      <w:r>
        <w:rPr>
          <w:rStyle w:val="Hyperlink.0"/>
          <w:rtl w:val="0"/>
        </w:rPr>
        <w:t>https://www.trybooking.com/book/event?eid=564121</w:t>
      </w:r>
      <w:r>
        <w:rPr/>
        <w:fldChar w:fldCharType="end" w:fldLock="0"/>
      </w:r>
      <w:r>
        <w:rPr>
          <w:rFonts w:ascii="Arial" w:hAnsi="Arial"/>
          <w:rtl w:val="0"/>
          <w:lang w:val="en-US"/>
        </w:rPr>
        <w:t xml:space="preserve"> </w:t>
      </w:r>
    </w:p>
    <w:p>
      <w:pPr>
        <w:pStyle w:val="Normal (Web)"/>
        <w:rPr>
          <w:rFonts w:ascii="Calibri" w:cs="Calibri" w:hAnsi="Calibri" w:eastAsia="Calibri"/>
          <w:color w:val="000000"/>
          <w:sz w:val="20"/>
          <w:szCs w:val="20"/>
          <w:u w:color="000000"/>
        </w:rPr>
      </w:pPr>
      <w:r>
        <w:rPr>
          <w:rFonts w:ascii="Arial" w:hAnsi="Arial"/>
          <w:sz w:val="22"/>
          <w:szCs w:val="22"/>
          <w:rtl w:val="0"/>
          <w:lang w:val="en-US"/>
        </w:rPr>
        <w:t>Registrations can only be accepted through TryBooking and no invoices will be issued.</w:t>
      </w:r>
    </w:p>
    <w:p>
      <w:pPr>
        <w:pStyle w:val="Body"/>
        <w:jc w:val="center"/>
        <w:rPr>
          <w:rFonts w:ascii="Arial" w:cs="Arial" w:hAnsi="Arial" w:eastAsia="Arial"/>
          <w:sz w:val="22"/>
          <w:szCs w:val="22"/>
        </w:rPr>
      </w:pPr>
    </w:p>
    <w:p>
      <w:pPr>
        <w:pStyle w:val="Body"/>
        <w:jc w:val="center"/>
      </w:pPr>
      <w:r>
        <w:rPr>
          <w:rFonts w:ascii="Arial" w:hAnsi="Arial"/>
          <w:sz w:val="22"/>
          <w:szCs w:val="22"/>
          <w:rtl w:val="0"/>
          <w:lang w:val="en-US"/>
        </w:rPr>
        <w:t>*Full registration must be paid for the TCD course, and the rebate is applied when you register for the second course component.</w:t>
      </w:r>
    </w:p>
    <w:sectPr>
      <w:headerReference w:type="default" r:id="rId5"/>
      <w:footerReference w:type="default" r:id="rId6"/>
      <w:pgSz w:w="11900" w:h="16840" w:orient="portrait"/>
      <w:pgMar w:top="284" w:right="1134" w:bottom="142" w:left="1134"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rPr>
  </w:style>
  <w:style w:type="paragraph" w:styleId="header">
    <w:name w:val="header"/>
    <w:next w:val="header"/>
    <w:pPr>
      <w:keepNext w:val="0"/>
      <w:keepLines w:val="0"/>
      <w:pageBreakBefore w:val="0"/>
      <w:widowControl w:val="1"/>
      <w:shd w:val="clear" w:color="auto" w:fill="auto"/>
      <w:tabs>
        <w:tab w:val="center" w:pos="4153"/>
        <w:tab w:val="right" w:pos="8306"/>
      </w:tabs>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Normal (Web)">
    <w:name w:val="Normal (Web)"/>
    <w:next w:val="Normal (We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Link">
    <w:name w:val="Link"/>
    <w:rPr>
      <w:color w:val="0000ff"/>
      <w:u w:val="single" w:color="0000ff"/>
    </w:rPr>
  </w:style>
  <w:style w:type="character" w:styleId="Hyperlink.0">
    <w:name w:val="Hyperlink.0"/>
    <w:basedOn w:val="Link"/>
    <w:next w:val="Hyperlink.0"/>
    <w:rPr>
      <w:rFonts w:ascii="Arial" w:cs="Arial" w:hAnsi="Arial" w:eastAsia="Aria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